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14E923D2" w:rsidR="003F7174" w:rsidRPr="00602D92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Year </w:t>
      </w:r>
      <w:r w:rsidR="004E221C" w:rsidRPr="00602D92">
        <w:rPr>
          <w:rFonts w:asciiTheme="majorHAnsi" w:hAnsiTheme="majorHAnsi" w:cstheme="majorHAnsi"/>
          <w:sz w:val="28"/>
          <w:szCs w:val="28"/>
        </w:rPr>
        <w:t>5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Pr="00602D92">
        <w:rPr>
          <w:rFonts w:asciiTheme="majorHAnsi" w:hAnsiTheme="majorHAnsi" w:cstheme="majorHAnsi"/>
          <w:sz w:val="28"/>
          <w:szCs w:val="28"/>
        </w:rPr>
        <w:t>Home Learning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Checklist –</w:t>
      </w:r>
      <w:r w:rsidR="00ED059E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D938F6" w:rsidRPr="00602D92">
        <w:rPr>
          <w:rFonts w:asciiTheme="majorHAnsi" w:hAnsiTheme="majorHAnsi" w:cstheme="majorHAnsi"/>
          <w:sz w:val="28"/>
          <w:szCs w:val="28"/>
        </w:rPr>
        <w:t>Thurs</w:t>
      </w:r>
      <w:r w:rsidR="00D42C80" w:rsidRPr="00602D92">
        <w:rPr>
          <w:rFonts w:asciiTheme="majorHAnsi" w:hAnsiTheme="majorHAnsi" w:cstheme="majorHAnsi"/>
          <w:sz w:val="28"/>
          <w:szCs w:val="28"/>
        </w:rPr>
        <w:t>day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8D0E3E">
        <w:rPr>
          <w:rFonts w:asciiTheme="majorHAnsi" w:hAnsiTheme="majorHAnsi" w:cstheme="majorHAnsi"/>
          <w:sz w:val="28"/>
          <w:szCs w:val="28"/>
        </w:rPr>
        <w:t>12</w:t>
      </w:r>
      <w:r w:rsidR="008D0E3E" w:rsidRPr="008D0E3E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0E3E">
        <w:rPr>
          <w:rFonts w:asciiTheme="majorHAnsi" w:hAnsiTheme="majorHAnsi" w:cstheme="majorHAnsi"/>
          <w:sz w:val="28"/>
          <w:szCs w:val="28"/>
        </w:rPr>
        <w:t xml:space="preserve"> Novem</w:t>
      </w:r>
      <w:r w:rsidR="00D938F6" w:rsidRPr="00602D92">
        <w:rPr>
          <w:rFonts w:asciiTheme="majorHAnsi" w:hAnsiTheme="majorHAnsi" w:cstheme="majorHAnsi"/>
          <w:sz w:val="28"/>
          <w:szCs w:val="28"/>
        </w:rPr>
        <w:t>ber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2020</w:t>
      </w:r>
    </w:p>
    <w:p w14:paraId="281F0FBE" w14:textId="6332B2DA" w:rsidR="00D938F6" w:rsidRPr="00602D92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b/>
          <w:bCs/>
          <w:sz w:val="28"/>
          <w:szCs w:val="28"/>
        </w:rPr>
        <w:t>Due:</w:t>
      </w:r>
      <w:r w:rsidRPr="00602D92">
        <w:rPr>
          <w:rFonts w:asciiTheme="majorHAnsi" w:hAnsiTheme="majorHAnsi" w:cstheme="majorHAnsi"/>
          <w:sz w:val="28"/>
          <w:szCs w:val="28"/>
        </w:rPr>
        <w:t xml:space="preserve"> Tuesday</w:t>
      </w:r>
      <w:r w:rsidR="008D0E3E">
        <w:rPr>
          <w:rFonts w:asciiTheme="majorHAnsi" w:hAnsiTheme="majorHAnsi" w:cstheme="majorHAnsi"/>
          <w:sz w:val="28"/>
          <w:szCs w:val="28"/>
        </w:rPr>
        <w:t xml:space="preserve"> 17</w:t>
      </w:r>
      <w:r w:rsidR="008D0E3E" w:rsidRPr="008D0E3E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0E3E">
        <w:rPr>
          <w:rFonts w:asciiTheme="majorHAnsi" w:hAnsiTheme="majorHAnsi" w:cstheme="majorHAnsi"/>
          <w:sz w:val="28"/>
          <w:szCs w:val="28"/>
        </w:rPr>
        <w:t xml:space="preserve"> </w:t>
      </w:r>
      <w:r w:rsidR="00BD2E9A" w:rsidRPr="00602D92">
        <w:rPr>
          <w:rFonts w:asciiTheme="majorHAnsi" w:hAnsiTheme="majorHAnsi" w:cstheme="majorHAnsi"/>
          <w:sz w:val="28"/>
          <w:szCs w:val="28"/>
        </w:rPr>
        <w:t>Novem</w:t>
      </w:r>
      <w:r w:rsidRPr="00602D92">
        <w:rPr>
          <w:rFonts w:asciiTheme="majorHAnsi" w:hAnsiTheme="majorHAnsi" w:cstheme="majorHAnsi"/>
          <w:sz w:val="28"/>
          <w:szCs w:val="28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02D92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6A794A"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his week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3685C21F" w:rsidR="009142E8" w:rsidRPr="00602D92" w:rsidRDefault="000C0C63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Spelling and </w:t>
            </w:r>
            <w:proofErr w:type="spellStart"/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SPaG</w:t>
            </w:r>
            <w:proofErr w:type="spellEnd"/>
            <w:r w:rsidR="00D938F6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45CDB256" w:rsidR="00D938F6" w:rsidRPr="00602D92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1388E36" w14:textId="090E0059" w:rsidR="000C0C63" w:rsidRPr="00602D92" w:rsidRDefault="008D0E3E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Over the last few </w:t>
            </w:r>
            <w:proofErr w:type="gram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weeks</w:t>
            </w:r>
            <w:proofErr w:type="gram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w</w:t>
            </w:r>
            <w:r w:rsidR="000C0C63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 have been looking at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using devices, such as synonyms and pronouns, to make our writing more cohesive.</w:t>
            </w:r>
          </w:p>
          <w:p w14:paraId="1BB2944D" w14:textId="77777777" w:rsidR="001D608A" w:rsidRPr="00602D92" w:rsidRDefault="001D608A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FEF34CD" w14:textId="13EEE779" w:rsidR="000A195A" w:rsidRDefault="008D0E3E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would like you to practice some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questions about synonyms 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spag.com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to help you become more confident in using them in your written work.</w:t>
            </w:r>
          </w:p>
          <w:p w14:paraId="4F32DB8C" w14:textId="6D1D6934" w:rsidR="008D0E3E" w:rsidRDefault="008D0E3E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C59E23C" w14:textId="47FBAA98" w:rsidR="008D0E3E" w:rsidRPr="008D0E3E" w:rsidRDefault="008D0E3E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We would also like you to spend some time on your spelling pathway 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Spellzone.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This carefully and individualised pathway will focus on your specific needs with regards to spelling.</w:t>
            </w:r>
          </w:p>
          <w:p w14:paraId="13B9D1A0" w14:textId="7364DFEB" w:rsidR="001D608A" w:rsidRPr="00602D92" w:rsidRDefault="001D608A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781" w14:textId="666514A2" w:rsidR="00602D92" w:rsidRPr="00602D92" w:rsidRDefault="004E221C" w:rsidP="00602D92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br/>
            </w:r>
          </w:p>
          <w:p w14:paraId="4ED56F41" w14:textId="3D30745C" w:rsidR="00602D92" w:rsidRDefault="00DB336E" w:rsidP="00602D92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Over the last few </w:t>
            </w:r>
            <w:proofErr w:type="gram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weeks</w:t>
            </w:r>
            <w:proofErr w:type="gram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we have been looking at our arithmetic skills. We have spent some time on written methods for addition, subtraction, </w:t>
            </w:r>
            <w:proofErr w:type="gram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division</w:t>
            </w:r>
            <w:proofErr w:type="gram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multiplication. </w:t>
            </w:r>
          </w:p>
          <w:p w14:paraId="6FA3FAF6" w14:textId="00DF908E" w:rsidR="00DB336E" w:rsidRDefault="00DB336E" w:rsidP="00602D92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BB93B54" w14:textId="612CCEA2" w:rsidR="00DB336E" w:rsidRPr="00DB336E" w:rsidRDefault="00DB336E" w:rsidP="00602D9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would like you to spend some time practicing ‘Multiplying Double Digits’ on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094C6EE" w14:textId="2AFC189A" w:rsidR="00F91E1F" w:rsidRPr="00602D92" w:rsidRDefault="00DB336E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0A195A" w:rsidRDefault="00080E01" w:rsidP="000A195A">
            <w:pPr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602D92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02D92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Pr="00602D92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47DC3310" w14:textId="40800178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602D92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Pr="00602D92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  <w:szCs w:val="28"/>
        </w:rPr>
      </w:pPr>
    </w:p>
    <w:p w14:paraId="593E3479" w14:textId="3A13BB06" w:rsidR="00042A96" w:rsidRPr="00602D92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>Please remember to have completed your homework tasks by Tuesday</w:t>
      </w:r>
      <w:r w:rsidR="00042A96" w:rsidRPr="00602D92">
        <w:rPr>
          <w:rFonts w:asciiTheme="majorHAnsi" w:hAnsiTheme="majorHAnsi" w:cstheme="majorHAnsi"/>
          <w:sz w:val="28"/>
          <w:szCs w:val="28"/>
        </w:rPr>
        <w:t>,</w:t>
      </w:r>
    </w:p>
    <w:p w14:paraId="4F9777EE" w14:textId="5A646F44" w:rsidR="00042A96" w:rsidRPr="00602D92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Mrs Brown and Miss K </w:t>
      </w:r>
      <w:r w:rsidRPr="00602D92">
        <w:rPr>
          <w:rFonts w:asciiTheme="majorHAnsi" w:hAnsiTheme="majorHAnsi" w:cstheme="majorHAnsi"/>
          <w:sz w:val="28"/>
          <w:szCs w:val="28"/>
        </w:rPr>
        <w:sym w:font="Wingdings" w:char="F04A"/>
      </w:r>
      <w:r w:rsidR="00DD095C" w:rsidRPr="00602D92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602D92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C0C63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1D608A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3F7858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2D92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D0E3E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2E9A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B336E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2</cp:revision>
  <cp:lastPrinted>2020-06-29T11:47:00Z</cp:lastPrinted>
  <dcterms:created xsi:type="dcterms:W3CDTF">2020-11-10T19:44:00Z</dcterms:created>
  <dcterms:modified xsi:type="dcterms:W3CDTF">2020-11-10T19:44:00Z</dcterms:modified>
</cp:coreProperties>
</file>